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46BFC905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D366AD">
        <w:rPr>
          <w:rFonts w:ascii="Arial" w:hAnsi="Arial" w:cs="Arial"/>
          <w:b/>
          <w:sz w:val="20"/>
          <w:szCs w:val="20"/>
        </w:rPr>
        <w:t xml:space="preserve">ID#: </w:t>
      </w:r>
      <w:r w:rsidR="00D366AD" w:rsidRPr="00D366AD">
        <w:rPr>
          <w:rFonts w:ascii="Arial" w:hAnsi="Arial" w:cs="Arial"/>
          <w:b/>
          <w:sz w:val="20"/>
          <w:szCs w:val="20"/>
        </w:rPr>
        <w:t>AEI022</w:t>
      </w:r>
      <w:r w:rsidR="00E360E8">
        <w:rPr>
          <w:rFonts w:ascii="Arial" w:hAnsi="Arial" w:cs="Arial"/>
          <w:b/>
          <w:sz w:val="20"/>
          <w:szCs w:val="20"/>
        </w:rPr>
        <w:t>-</w:t>
      </w:r>
      <w:r w:rsidR="00BA1BF1">
        <w:rPr>
          <w:rFonts w:ascii="Arial" w:hAnsi="Arial" w:cs="Arial"/>
          <w:b/>
          <w:sz w:val="20"/>
          <w:szCs w:val="20"/>
        </w:rPr>
        <w:t>B</w:t>
      </w:r>
    </w:p>
    <w:p w14:paraId="43C4601B" w14:textId="77777777" w:rsidR="003C763B" w:rsidRDefault="005B4A72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5CCBD5A7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r w:rsidR="00A24EAE">
        <w:rPr>
          <w:rFonts w:ascii="Arial" w:eastAsia="Calibri" w:hAnsi="Arial" w:cs="Arial"/>
          <w:b/>
          <w:iCs/>
          <w:sz w:val="36"/>
          <w:szCs w:val="36"/>
        </w:rPr>
        <w:t>Chicago Based Civil Engineering Firm with Diversified Services &amp; $2 Million in 2022 Projects!</w:t>
      </w:r>
    </w:p>
    <w:p w14:paraId="5333C62F" w14:textId="60BC071A" w:rsidR="00A8394F" w:rsidRDefault="00A24EAE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r>
        <w:rPr>
          <w:rFonts w:ascii="Arial" w:eastAsia="Calibri" w:hAnsi="Arial" w:cs="Arial"/>
          <w:bCs/>
          <w:i/>
          <w:color w:val="595959"/>
          <w:sz w:val="28"/>
          <w:szCs w:val="20"/>
        </w:rPr>
        <w:t>No license needed for new owner and excellent engineering team in place!</w:t>
      </w:r>
    </w:p>
    <w:p w14:paraId="62CD981B" w14:textId="77777777" w:rsidR="006562BE" w:rsidRPr="006562BE" w:rsidRDefault="006562BE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115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50"/>
        <w:gridCol w:w="270"/>
        <w:gridCol w:w="5400"/>
      </w:tblGrid>
      <w:tr w:rsidR="00580B36" w14:paraId="19DAF3D9" w14:textId="77777777" w:rsidTr="005B4A72">
        <w:trPr>
          <w:trHeight w:hRule="exact" w:val="4221"/>
        </w:trPr>
        <w:tc>
          <w:tcPr>
            <w:tcW w:w="585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1E509807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6E027D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1,200</w:t>
            </w:r>
            <w:r w:rsidR="00D366AD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5826" w:type="dxa"/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1457"/>
              <w:gridCol w:w="1456"/>
              <w:gridCol w:w="1457"/>
            </w:tblGrid>
            <w:tr w:rsidR="00D7038F" w:rsidRPr="00580B36" w14:paraId="3ED3829C" w14:textId="72458D36" w:rsidTr="00D7038F">
              <w:trPr>
                <w:trHeight w:val="213"/>
              </w:trPr>
              <w:tc>
                <w:tcPr>
                  <w:tcW w:w="1456" w:type="dxa"/>
                  <w:shd w:val="clear" w:color="auto" w:fill="55274E"/>
                </w:tcPr>
                <w:p w14:paraId="58CD3C6A" w14:textId="6C8E9148" w:rsidR="00D7038F" w:rsidRPr="00580B36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2022 Annualized</w:t>
                  </w:r>
                </w:p>
              </w:tc>
              <w:tc>
                <w:tcPr>
                  <w:tcW w:w="1457" w:type="dxa"/>
                  <w:shd w:val="clear" w:color="auto" w:fill="55274E"/>
                </w:tcPr>
                <w:p w14:paraId="725E27F7" w14:textId="4EA3F726" w:rsidR="00D7038F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TTM</w:t>
                  </w:r>
                </w:p>
              </w:tc>
              <w:tc>
                <w:tcPr>
                  <w:tcW w:w="1456" w:type="dxa"/>
                  <w:shd w:val="clear" w:color="auto" w:fill="55274E"/>
                </w:tcPr>
                <w:p w14:paraId="5493A2A5" w14:textId="42B344AB" w:rsidR="00D7038F" w:rsidRPr="00580B36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57" w:type="dxa"/>
                  <w:shd w:val="clear" w:color="auto" w:fill="55274E"/>
                </w:tcPr>
                <w:p w14:paraId="71475098" w14:textId="4541A983" w:rsidR="00D7038F" w:rsidRPr="00580B36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2018</w:t>
                  </w:r>
                </w:p>
              </w:tc>
            </w:tr>
            <w:tr w:rsidR="00D7038F" w:rsidRPr="00580B36" w14:paraId="2EC9B8E0" w14:textId="2EE9CEF7" w:rsidTr="00D7038F">
              <w:trPr>
                <w:trHeight w:val="213"/>
              </w:trPr>
              <w:tc>
                <w:tcPr>
                  <w:tcW w:w="1456" w:type="dxa"/>
                </w:tcPr>
                <w:p w14:paraId="53467F60" w14:textId="034D563C" w:rsidR="00D7038F" w:rsidRPr="005141C4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$2,504,792</w:t>
                  </w:r>
                </w:p>
              </w:tc>
              <w:tc>
                <w:tcPr>
                  <w:tcW w:w="1457" w:type="dxa"/>
                </w:tcPr>
                <w:p w14:paraId="4C3E29EB" w14:textId="01D21795" w:rsidR="00D7038F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$1,624,186</w:t>
                  </w:r>
                </w:p>
              </w:tc>
              <w:tc>
                <w:tcPr>
                  <w:tcW w:w="1456" w:type="dxa"/>
                </w:tcPr>
                <w:p w14:paraId="52916482" w14:textId="3A882190" w:rsidR="00D7038F" w:rsidRPr="005141C4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$2,060,332</w:t>
                  </w:r>
                </w:p>
              </w:tc>
              <w:tc>
                <w:tcPr>
                  <w:tcW w:w="1457" w:type="dxa"/>
                </w:tcPr>
                <w:p w14:paraId="5AB5ABED" w14:textId="137C532D" w:rsidR="00D7038F" w:rsidRPr="005141C4" w:rsidRDefault="00D7038F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$2,165,735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7794" w:type="dxa"/>
              <w:tblLayout w:type="fixed"/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50"/>
              <w:gridCol w:w="1950"/>
            </w:tblGrid>
            <w:tr w:rsidR="009B1620" w:rsidRPr="00580B36" w14:paraId="2F2EAF70" w14:textId="325EB3FA" w:rsidTr="00D7038F">
              <w:trPr>
                <w:trHeight w:val="270"/>
              </w:trPr>
              <w:tc>
                <w:tcPr>
                  <w:tcW w:w="1944" w:type="dxa"/>
                  <w:shd w:val="clear" w:color="auto" w:fill="55274E"/>
                </w:tcPr>
                <w:p w14:paraId="291BEBB8" w14:textId="335E1CDB" w:rsidR="009B1620" w:rsidRPr="00580B36" w:rsidRDefault="009B162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2022 Annualized</w:t>
                  </w:r>
                </w:p>
              </w:tc>
              <w:tc>
                <w:tcPr>
                  <w:tcW w:w="1950" w:type="dxa"/>
                  <w:shd w:val="clear" w:color="auto" w:fill="55274E"/>
                </w:tcPr>
                <w:p w14:paraId="309253DE" w14:textId="443DE651" w:rsidR="009B1620" w:rsidRPr="00580B36" w:rsidRDefault="009B162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950" w:type="dxa"/>
                  <w:shd w:val="clear" w:color="auto" w:fill="55274E"/>
                </w:tcPr>
                <w:p w14:paraId="762B4A52" w14:textId="72711F51" w:rsidR="009B1620" w:rsidRPr="00580B36" w:rsidRDefault="009B162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950" w:type="dxa"/>
                  <w:shd w:val="clear" w:color="auto" w:fill="55274E"/>
                </w:tcPr>
                <w:p w14:paraId="75CF1715" w14:textId="77777777" w:rsidR="009B1620" w:rsidRPr="00580B36" w:rsidRDefault="009B162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9B1620" w:rsidRPr="00580B36" w14:paraId="6AD1BB7E" w14:textId="24B58507" w:rsidTr="00D7038F">
              <w:trPr>
                <w:trHeight w:val="253"/>
              </w:trPr>
              <w:tc>
                <w:tcPr>
                  <w:tcW w:w="1944" w:type="dxa"/>
                </w:tcPr>
                <w:p w14:paraId="2D0D1B01" w14:textId="22D24D73" w:rsidR="009B1620" w:rsidRPr="005141C4" w:rsidRDefault="00D7038F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9B1620">
                    <w:rPr>
                      <w:rFonts w:ascii="Arial" w:hAnsi="Arial" w:cs="Arial"/>
                      <w:iCs/>
                      <w:sz w:val="19"/>
                      <w:szCs w:val="19"/>
                    </w:rPr>
                    <w:t>408,956</w:t>
                  </w:r>
                </w:p>
              </w:tc>
              <w:tc>
                <w:tcPr>
                  <w:tcW w:w="1950" w:type="dxa"/>
                </w:tcPr>
                <w:p w14:paraId="68D81117" w14:textId="78F1EAA6" w:rsidR="009B1620" w:rsidRPr="005141C4" w:rsidRDefault="00D7038F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9B1620">
                    <w:rPr>
                      <w:rFonts w:ascii="Arial" w:hAnsi="Arial" w:cs="Arial"/>
                      <w:iCs/>
                      <w:sz w:val="19"/>
                      <w:szCs w:val="19"/>
                    </w:rPr>
                    <w:t>361,519</w:t>
                  </w:r>
                </w:p>
              </w:tc>
              <w:tc>
                <w:tcPr>
                  <w:tcW w:w="1950" w:type="dxa"/>
                </w:tcPr>
                <w:p w14:paraId="62BD35E2" w14:textId="73C3D325" w:rsidR="009B1620" w:rsidRPr="005141C4" w:rsidRDefault="00D7038F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9B1620">
                    <w:rPr>
                      <w:rFonts w:ascii="Arial" w:hAnsi="Arial" w:cs="Arial"/>
                      <w:iCs/>
                      <w:sz w:val="19"/>
                      <w:szCs w:val="19"/>
                    </w:rPr>
                    <w:t>565,114</w:t>
                  </w:r>
                </w:p>
              </w:tc>
              <w:tc>
                <w:tcPr>
                  <w:tcW w:w="1950" w:type="dxa"/>
                </w:tcPr>
                <w:p w14:paraId="0FC8FEDD" w14:textId="77777777" w:rsidR="009B1620" w:rsidRPr="005141C4" w:rsidRDefault="009B1620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</w:p>
              </w:tc>
            </w:tr>
          </w:tbl>
          <w:p w14:paraId="0B12D194" w14:textId="168B26B6" w:rsidR="00580B36" w:rsidRPr="0000307D" w:rsidRDefault="0000307D" w:rsidP="00580B36">
            <w:pPr>
              <w:tabs>
                <w:tab w:val="left" w:pos="79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2021/2020 excluded due to Covid &amp; age of owners.</w:t>
            </w:r>
          </w:p>
          <w:p w14:paraId="6BFED788" w14:textId="450BFCDD" w:rsidR="00580B36" w:rsidRPr="005141C4" w:rsidRDefault="00D366AD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2021 </w:t>
            </w:r>
            <w:r w:rsidR="00580B36"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23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2A9F6229" w14:textId="77F078F5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Multiple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D366AD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1FE258D0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E027D">
              <w:rPr>
                <w:rFonts w:ascii="Arial" w:hAnsi="Arial" w:cs="Arial"/>
                <w:iCs/>
                <w:sz w:val="16"/>
                <w:szCs w:val="16"/>
              </w:rPr>
              <w:t>2022 Annualized</w:t>
            </w:r>
            <w:r w:rsidR="00D366A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</w:t>
            </w:r>
            <w:proofErr w:type="gramStart"/>
            <w:r w:rsidRPr="005141C4">
              <w:rPr>
                <w:rFonts w:ascii="Arial" w:hAnsi="Arial" w:cs="Arial"/>
                <w:iCs/>
                <w:sz w:val="16"/>
                <w:szCs w:val="20"/>
              </w:rPr>
              <w:t>x</w:t>
            </w:r>
            <w:proofErr w:type="gramEnd"/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 Multiple    =     Valuation</w:t>
            </w:r>
          </w:p>
          <w:p w14:paraId="198AC6DB" w14:textId="39C8FFF5" w:rsid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$</w:t>
            </w:r>
            <w:r w:rsidR="006E027D">
              <w:rPr>
                <w:rFonts w:ascii="Arial" w:hAnsi="Arial" w:cs="Arial"/>
                <w:iCs/>
                <w:sz w:val="20"/>
                <w:szCs w:val="20"/>
              </w:rPr>
              <w:t>408,956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x   </w:t>
            </w:r>
            <w:r w:rsidR="00D366AD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=   $</w:t>
            </w:r>
            <w:r w:rsidR="006E027D">
              <w:rPr>
                <w:rFonts w:ascii="Arial" w:hAnsi="Arial" w:cs="Arial"/>
                <w:iCs/>
                <w:sz w:val="20"/>
                <w:szCs w:val="20"/>
              </w:rPr>
              <w:t>1,226,868</w:t>
            </w:r>
          </w:p>
          <w:p w14:paraId="1A8D51AB" w14:textId="3A82D07B" w:rsidR="00180964" w:rsidRDefault="00180964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784E3D6" w14:textId="77777777" w:rsidR="00180964" w:rsidRPr="005141C4" w:rsidRDefault="00180964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07FFF14C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C80AC3">
              <w:rPr>
                <w:rFonts w:ascii="Arial" w:hAnsi="Arial" w:cs="Arial"/>
                <w:b/>
                <w:iCs/>
                <w:color w:val="55274E"/>
                <w:szCs w:val="20"/>
              </w:rPr>
              <w:t>1,200</w:t>
            </w:r>
            <w:r w:rsidR="00D366AD">
              <w:rPr>
                <w:rFonts w:ascii="Arial" w:hAnsi="Arial" w:cs="Arial"/>
                <w:b/>
                <w:iCs/>
                <w:color w:val="55274E"/>
                <w:szCs w:val="20"/>
              </w:rPr>
              <w:t>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1620"/>
            </w:tblGrid>
            <w:tr w:rsidR="00580B36" w:rsidRPr="00580B36" w14:paraId="6C73C9BD" w14:textId="77777777" w:rsidTr="000073FD">
              <w:tc>
                <w:tcPr>
                  <w:tcW w:w="3454" w:type="dxa"/>
                  <w:shd w:val="clear" w:color="auto" w:fill="auto"/>
                </w:tcPr>
                <w:p w14:paraId="616CD393" w14:textId="5D1FE353" w:rsidR="00580B36" w:rsidRPr="005141C4" w:rsidRDefault="00D366A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</w:t>
                  </w:r>
                  <w:r w:rsidR="001F43D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620" w:type="dxa"/>
                </w:tcPr>
                <w:p w14:paraId="26FDAA1C" w14:textId="63696BAE" w:rsidR="00580B36" w:rsidRPr="001F3977" w:rsidRDefault="00D366A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</w:t>
                  </w:r>
                  <w:r w:rsidR="001F43D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</w:t>
                  </w:r>
                  <w:r w:rsidR="00017D4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580B36" w:rsidRPr="00580B36" w14:paraId="21E09DF9" w14:textId="77777777" w:rsidTr="000073FD">
              <w:tc>
                <w:tcPr>
                  <w:tcW w:w="3454" w:type="dxa"/>
                  <w:shd w:val="clear" w:color="auto" w:fill="auto"/>
                </w:tcPr>
                <w:p w14:paraId="310F4222" w14:textId="2AB3C421" w:rsidR="00580B36" w:rsidRPr="005141C4" w:rsidRDefault="001F43D4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20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 w:rsidR="00D93E3D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Seller Financing </w:t>
                  </w:r>
                </w:p>
              </w:tc>
              <w:tc>
                <w:tcPr>
                  <w:tcW w:w="1620" w:type="dxa"/>
                </w:tcPr>
                <w:p w14:paraId="3168F08A" w14:textId="6AAF82DC" w:rsidR="00580B36" w:rsidRPr="001F3977" w:rsidRDefault="00D366A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1F43D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240</w:t>
                  </w:r>
                  <w:r w:rsidR="00017D4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  <w:tr w:rsidR="00580B36" w:rsidRPr="00580B36" w14:paraId="6515A51A" w14:textId="77777777" w:rsidTr="000073FD">
              <w:tc>
                <w:tcPr>
                  <w:tcW w:w="3454" w:type="dxa"/>
                  <w:shd w:val="clear" w:color="auto" w:fill="auto"/>
                </w:tcPr>
                <w:p w14:paraId="41192A01" w14:textId="0C2041E9" w:rsidR="00580B36" w:rsidRPr="005141C4" w:rsidRDefault="00D366A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</w:t>
                  </w:r>
                  <w:r w:rsidR="001F43D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Bank Loan</w:t>
                  </w:r>
                </w:p>
              </w:tc>
              <w:tc>
                <w:tcPr>
                  <w:tcW w:w="1620" w:type="dxa"/>
                </w:tcPr>
                <w:p w14:paraId="7D6D4C50" w14:textId="2F506E0F" w:rsidR="00580B36" w:rsidRPr="001F3977" w:rsidRDefault="00D366A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1F43D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840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</w:tbl>
          <w:p w14:paraId="0A6BC305" w14:textId="77777777" w:rsidR="00580B36" w:rsidRPr="00580B36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551DC" w14:textId="24FD87A0" w:rsidR="00580B36" w:rsidRPr="007250D8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D366A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1F43D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>% down payment of $</w:t>
            </w:r>
            <w:r w:rsidR="00D366A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1F43D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17D4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D366A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17D4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D366AD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returns </w:t>
            </w:r>
            <w:r w:rsidR="00D366AD">
              <w:rPr>
                <w:rFonts w:ascii="Arial" w:hAnsi="Arial" w:cs="Arial"/>
                <w:i/>
                <w:iCs/>
                <w:sz w:val="20"/>
                <w:szCs w:val="20"/>
              </w:rPr>
              <w:t>$1</w:t>
            </w:r>
            <w:r w:rsidR="001F43D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17D4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 w:rsidR="001F43D4">
              <w:rPr>
                <w:rFonts w:ascii="Arial" w:hAnsi="Arial" w:cs="Arial"/>
                <w:i/>
                <w:iCs/>
                <w:sz w:val="20"/>
                <w:szCs w:val="20"/>
              </w:rPr>
              <w:t>040</w:t>
            </w:r>
            <w:r w:rsidR="00017D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the first year 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after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debt payments!</w:t>
            </w:r>
          </w:p>
          <w:p w14:paraId="1CB207B8" w14:textId="77777777" w:rsidR="00580B36" w:rsidRPr="006562BE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0" w:name="_Hlk51246875"/>
          </w:p>
          <w:bookmarkEnd w:id="0"/>
          <w:p w14:paraId="16AACFC0" w14:textId="72EA33B1" w:rsidR="00180964" w:rsidRPr="00A05CB1" w:rsidRDefault="00D366AD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A05CB1">
              <w:rPr>
                <w:b w:val="0"/>
                <w:i w:val="0"/>
                <w:sz w:val="20"/>
                <w:szCs w:val="20"/>
              </w:rPr>
              <w:t>This</w:t>
            </w:r>
            <w:r w:rsidR="00A24EAE">
              <w:rPr>
                <w:b w:val="0"/>
                <w:i w:val="0"/>
                <w:sz w:val="20"/>
                <w:szCs w:val="20"/>
              </w:rPr>
              <w:t xml:space="preserve"> Chicago-based engineering firm offers diverse and niche services, specializing in </w:t>
            </w:r>
            <w:r w:rsidRPr="00A05CB1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>civil engineering and surveyin</w:t>
            </w:r>
            <w:r w:rsidR="00A24EAE">
              <w:rPr>
                <w:b w:val="0"/>
                <w:i w:val="0"/>
                <w:sz w:val="20"/>
                <w:szCs w:val="20"/>
              </w:rPr>
              <w:t xml:space="preserve">g. 2022 is set up to be one of their most profitable years yet, with 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A05CB1" w:rsidRPr="00A05CB1">
              <w:rPr>
                <w:b w:val="0"/>
                <w:i w:val="0"/>
                <w:sz w:val="20"/>
                <w:szCs w:val="20"/>
              </w:rPr>
              <w:t>nearly $2M on the boo</w:t>
            </w:r>
            <w:r w:rsidR="00A24EAE">
              <w:rPr>
                <w:b w:val="0"/>
                <w:i w:val="0"/>
                <w:sz w:val="20"/>
                <w:szCs w:val="20"/>
              </w:rPr>
              <w:t>ks already</w:t>
            </w:r>
            <w:r w:rsidR="00A05CB1" w:rsidRPr="00A05CB1">
              <w:rPr>
                <w:b w:val="0"/>
                <w:i w:val="0"/>
                <w:sz w:val="20"/>
                <w:szCs w:val="20"/>
              </w:rPr>
              <w:t xml:space="preserve"> ($1.6M work in progress, $300K pipeline)</w:t>
            </w:r>
            <w:r w:rsidR="00A24EAE">
              <w:rPr>
                <w:b w:val="0"/>
                <w:i w:val="0"/>
                <w:sz w:val="20"/>
                <w:szCs w:val="20"/>
              </w:rPr>
              <w:t xml:space="preserve">. Built with a strong sense of community over 60 years ago, </w:t>
            </w:r>
            <w:r w:rsidR="00BA1BF1">
              <w:rPr>
                <w:b w:val="0"/>
                <w:i w:val="0"/>
                <w:sz w:val="20"/>
                <w:szCs w:val="20"/>
              </w:rPr>
              <w:t>this second-generation company  has a reputation for providing diverse and dynamic designs. T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>he</w:t>
            </w:r>
            <w:r w:rsidR="00180964" w:rsidRPr="00A05CB1">
              <w:rPr>
                <w:b w:val="0"/>
                <w:i w:val="0"/>
                <w:sz w:val="20"/>
                <w:szCs w:val="20"/>
              </w:rPr>
              <w:t>y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180964" w:rsidRPr="00A05CB1">
              <w:rPr>
                <w:b w:val="0"/>
                <w:i w:val="0"/>
                <w:sz w:val="20"/>
                <w:szCs w:val="20"/>
              </w:rPr>
              <w:t>are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 xml:space="preserve"> equipped to work with both public and private clientel</w:t>
            </w:r>
            <w:r w:rsidR="00BA1BF1">
              <w:rPr>
                <w:b w:val="0"/>
                <w:i w:val="0"/>
                <w:sz w:val="20"/>
                <w:szCs w:val="20"/>
              </w:rPr>
              <w:t>e, comprised</w:t>
            </w:r>
            <w:r w:rsidRPr="00A05CB1">
              <w:rPr>
                <w:b w:val="0"/>
                <w:i w:val="0"/>
                <w:sz w:val="20"/>
                <w:szCs w:val="20"/>
              </w:rPr>
              <w:t xml:space="preserve"> of government &amp; municipal (75%), education (8%), contractors (9%), and private companies (8%).  </w:t>
            </w:r>
            <w:r w:rsidR="00BA1BF1">
              <w:rPr>
                <w:b w:val="0"/>
                <w:i w:val="0"/>
                <w:sz w:val="20"/>
                <w:szCs w:val="20"/>
              </w:rPr>
              <w:t xml:space="preserve">Due to the excellent team that will remain in place, there is no engineering licensing needed by the future owner. When </w:t>
            </w:r>
            <w:proofErr w:type="gramStart"/>
            <w:r w:rsidR="00BA1BF1">
              <w:rPr>
                <w:b w:val="0"/>
                <w:i w:val="0"/>
                <w:sz w:val="20"/>
                <w:szCs w:val="20"/>
              </w:rPr>
              <w:t>taking into account</w:t>
            </w:r>
            <w:proofErr w:type="gramEnd"/>
            <w:r w:rsidR="00BA1BF1">
              <w:rPr>
                <w:b w:val="0"/>
                <w:i w:val="0"/>
                <w:sz w:val="20"/>
                <w:szCs w:val="20"/>
              </w:rPr>
              <w:t xml:space="preserve"> the reputation, team, diverse services, and longevity, this Chicago based engineering firm is a great opportunity for any new owner!</w:t>
            </w:r>
          </w:p>
          <w:p w14:paraId="7CEE91FE" w14:textId="77777777" w:rsidR="00180964" w:rsidRPr="00A05CB1" w:rsidRDefault="00180964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</w:p>
          <w:p w14:paraId="03E6AE86" w14:textId="4B9C00F0" w:rsidR="00934B77" w:rsidRPr="00A05CB1" w:rsidRDefault="00180964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A05CB1">
              <w:rPr>
                <w:b w:val="0"/>
                <w:i w:val="0"/>
                <w:sz w:val="20"/>
                <w:szCs w:val="20"/>
              </w:rPr>
              <w:t>There are 11 total employees on staff, outside of the owners. This includes 3 engineers, 1 surveyor, 1 CADD manager, 3 survey team members, and 3 administrative assistants. T</w:t>
            </w:r>
            <w:r w:rsidR="00934B77" w:rsidRPr="00A05CB1">
              <w:rPr>
                <w:b w:val="0"/>
                <w:i w:val="0"/>
                <w:sz w:val="20"/>
                <w:szCs w:val="20"/>
              </w:rPr>
              <w:t xml:space="preserve">heir team boasts impressive credentials and experience beyond many of their competitors. These qualifications, along with the firm’s long-established reputation in local governments and municipalities give the firm a strong competitive advantage when bidding on projects. </w:t>
            </w:r>
            <w:r w:rsidR="00BD4A01" w:rsidRPr="00A05CB1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14:paraId="43C20D71" w14:textId="77777777" w:rsidR="00934B77" w:rsidRPr="00A05CB1" w:rsidRDefault="00934B77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</w:p>
          <w:p w14:paraId="08E7DD79" w14:textId="02D7D8F1" w:rsidR="00A05CB1" w:rsidRPr="00A05CB1" w:rsidRDefault="00934B77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A05CB1">
              <w:rPr>
                <w:b w:val="0"/>
                <w:i w:val="0"/>
                <w:sz w:val="20"/>
                <w:szCs w:val="20"/>
              </w:rPr>
              <w:t>The existing team is set up to continue operating after the current owners leave. However, the</w:t>
            </w:r>
            <w:r w:rsidR="00D366AD" w:rsidRPr="00A05CB1">
              <w:rPr>
                <w:b w:val="0"/>
                <w:i w:val="0"/>
                <w:sz w:val="20"/>
                <w:szCs w:val="20"/>
              </w:rPr>
              <w:t xml:space="preserve"> sellers</w:t>
            </w:r>
            <w:r w:rsidRPr="00A05CB1">
              <w:rPr>
                <w:b w:val="0"/>
                <w:i w:val="0"/>
                <w:sz w:val="20"/>
                <w:szCs w:val="20"/>
              </w:rPr>
              <w:t xml:space="preserve"> are also open to staying on as strategic partners and helping the new owner grow the business in the years to come. </w:t>
            </w:r>
            <w:r w:rsidR="00BD4A01" w:rsidRPr="00A05CB1">
              <w:rPr>
                <w:b w:val="0"/>
                <w:i w:val="0"/>
                <w:sz w:val="20"/>
                <w:szCs w:val="20"/>
              </w:rPr>
              <w:t xml:space="preserve"> An ongoing salary of $150K/year was accounted for in the cash flow to either keep the sellers on board or to bring on new engineers to continue growth!</w:t>
            </w:r>
          </w:p>
          <w:p w14:paraId="172D251F" w14:textId="77777777" w:rsidR="00A05CB1" w:rsidRPr="00A05CB1" w:rsidRDefault="00A05CB1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</w:p>
          <w:p w14:paraId="754F60E1" w14:textId="73348B03" w:rsidR="00BD4A01" w:rsidRPr="00A05CB1" w:rsidRDefault="00A05CB1" w:rsidP="00934B77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A05CB1">
              <w:rPr>
                <w:b w:val="0"/>
                <w:i w:val="0"/>
                <w:sz w:val="20"/>
                <w:szCs w:val="20"/>
              </w:rPr>
              <w:t xml:space="preserve">At a price of </w:t>
            </w:r>
            <w:r w:rsidRPr="00A05CB1">
              <w:rPr>
                <w:bCs/>
                <w:i w:val="0"/>
                <w:sz w:val="20"/>
                <w:szCs w:val="20"/>
              </w:rPr>
              <w:t>$</w:t>
            </w:r>
            <w:r w:rsidR="00017D43">
              <w:rPr>
                <w:bCs/>
                <w:i w:val="0"/>
                <w:sz w:val="20"/>
                <w:szCs w:val="20"/>
              </w:rPr>
              <w:t>1,2</w:t>
            </w:r>
            <w:r w:rsidRPr="00A05CB1">
              <w:rPr>
                <w:bCs/>
                <w:i w:val="0"/>
                <w:sz w:val="20"/>
                <w:szCs w:val="20"/>
              </w:rPr>
              <w:t>00,000</w:t>
            </w:r>
            <w:r w:rsidRPr="00A05CB1">
              <w:rPr>
                <w:b w:val="0"/>
                <w:i w:val="0"/>
                <w:sz w:val="20"/>
                <w:szCs w:val="20"/>
              </w:rPr>
              <w:t xml:space="preserve"> and a down payment of $1</w:t>
            </w:r>
            <w:r w:rsidR="001F43D4">
              <w:rPr>
                <w:b w:val="0"/>
                <w:i w:val="0"/>
                <w:sz w:val="20"/>
                <w:szCs w:val="20"/>
              </w:rPr>
              <w:t>2</w:t>
            </w:r>
            <w:r w:rsidR="00017D43">
              <w:rPr>
                <w:b w:val="0"/>
                <w:i w:val="0"/>
                <w:sz w:val="20"/>
                <w:szCs w:val="20"/>
              </w:rPr>
              <w:t>0</w:t>
            </w:r>
            <w:r w:rsidRPr="00A05CB1">
              <w:rPr>
                <w:b w:val="0"/>
                <w:i w:val="0"/>
                <w:sz w:val="20"/>
                <w:szCs w:val="20"/>
              </w:rPr>
              <w:t>,</w:t>
            </w:r>
            <w:r w:rsidR="00017D43">
              <w:rPr>
                <w:b w:val="0"/>
                <w:i w:val="0"/>
                <w:sz w:val="20"/>
                <w:szCs w:val="20"/>
              </w:rPr>
              <w:t>0</w:t>
            </w:r>
            <w:r w:rsidRPr="00A05CB1">
              <w:rPr>
                <w:b w:val="0"/>
                <w:i w:val="0"/>
                <w:sz w:val="20"/>
                <w:szCs w:val="20"/>
              </w:rPr>
              <w:t>00, a buyer would receive $1</w:t>
            </w:r>
            <w:r w:rsidR="001F43D4">
              <w:rPr>
                <w:b w:val="0"/>
                <w:i w:val="0"/>
                <w:sz w:val="20"/>
                <w:szCs w:val="20"/>
              </w:rPr>
              <w:t>2</w:t>
            </w:r>
            <w:r w:rsidR="00017D43">
              <w:rPr>
                <w:b w:val="0"/>
                <w:i w:val="0"/>
                <w:sz w:val="20"/>
                <w:szCs w:val="20"/>
              </w:rPr>
              <w:t>0</w:t>
            </w:r>
            <w:r w:rsidRPr="00A05CB1">
              <w:rPr>
                <w:b w:val="0"/>
                <w:i w:val="0"/>
                <w:sz w:val="20"/>
                <w:szCs w:val="20"/>
              </w:rPr>
              <w:t>,</w:t>
            </w:r>
            <w:r w:rsidR="001F43D4">
              <w:rPr>
                <w:b w:val="0"/>
                <w:i w:val="0"/>
                <w:sz w:val="20"/>
                <w:szCs w:val="20"/>
              </w:rPr>
              <w:t>040</w:t>
            </w:r>
            <w:r w:rsidRPr="00A05CB1">
              <w:rPr>
                <w:b w:val="0"/>
                <w:i w:val="0"/>
                <w:sz w:val="20"/>
                <w:szCs w:val="20"/>
              </w:rPr>
              <w:t xml:space="preserve"> after debt payments</w:t>
            </w:r>
            <w:r w:rsidR="001F43D4">
              <w:rPr>
                <w:b w:val="0"/>
                <w:i w:val="0"/>
                <w:sz w:val="20"/>
                <w:szCs w:val="20"/>
              </w:rPr>
              <w:t>, a 100% return on investment!</w:t>
            </w:r>
          </w:p>
          <w:p w14:paraId="3FF5E554" w14:textId="77777777" w:rsidR="00BD4A01" w:rsidRPr="00BD4A01" w:rsidRDefault="00BD4A01" w:rsidP="00934B77">
            <w:pPr>
              <w:pStyle w:val="BodyText"/>
              <w:rPr>
                <w:b w:val="0"/>
                <w:i w:val="0"/>
                <w:sz w:val="21"/>
                <w:szCs w:val="21"/>
              </w:rPr>
            </w:pPr>
          </w:p>
          <w:p w14:paraId="09BD03FB" w14:textId="77777777" w:rsidR="00934B77" w:rsidRPr="00934B77" w:rsidRDefault="00934B77" w:rsidP="00934B77">
            <w:pPr>
              <w:pStyle w:val="BodyText"/>
              <w:rPr>
                <w:b w:val="0"/>
                <w:i w:val="0"/>
                <w:sz w:val="19"/>
                <w:szCs w:val="19"/>
              </w:rPr>
            </w:pPr>
          </w:p>
          <w:p w14:paraId="2DCC836F" w14:textId="23D2456E" w:rsidR="002D19EF" w:rsidRPr="00580B36" w:rsidRDefault="002D19EF" w:rsidP="00D366AD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580B36" w14:paraId="2F03E857" w14:textId="77777777" w:rsidTr="00D7038F">
        <w:trPr>
          <w:trHeight w:val="1800"/>
        </w:trPr>
        <w:tc>
          <w:tcPr>
            <w:tcW w:w="585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71D764A4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28020D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500,000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2467F5E9" w14:textId="6E75B978" w:rsidR="00934B77" w:rsidRPr="00934B77" w:rsidRDefault="00F10668" w:rsidP="00934B77">
            <w:pPr>
              <w:tabs>
                <w:tab w:val="left" w:pos="7920"/>
              </w:tabs>
              <w:spacing w:before="60"/>
              <w:ind w:left="180"/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</w:pPr>
            <w:bookmarkStart w:id="1" w:name="_Hlk101246952"/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19"/>
                <w:szCs w:val="19"/>
              </w:rPr>
              <w:t xml:space="preserve">Vehicles &amp; </w:t>
            </w:r>
            <w:r w:rsidR="00934B77" w:rsidRPr="00934B77">
              <w:rPr>
                <w:rFonts w:ascii="Arial" w:eastAsia="Calibri" w:hAnsi="Arial" w:cs="Arial"/>
                <w:b/>
                <w:bCs/>
                <w:iCs/>
                <w:color w:val="000000"/>
                <w:sz w:val="19"/>
                <w:szCs w:val="19"/>
              </w:rPr>
              <w:t>Equipment</w:t>
            </w:r>
            <w:r w:rsidR="00934B77" w:rsidRPr="00934B77"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 xml:space="preserve">: </w:t>
            </w:r>
            <w:bookmarkStart w:id="2" w:name="_Hlk43821726"/>
            <w:r w:rsidR="00934B77" w:rsidRPr="00934B77"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>$</w:t>
            </w:r>
            <w:bookmarkEnd w:id="2"/>
            <w:r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>500,000</w:t>
            </w:r>
          </w:p>
          <w:p w14:paraId="30577725" w14:textId="13802113" w:rsidR="00934B77" w:rsidRPr="00934B77" w:rsidRDefault="00934B77" w:rsidP="00934B77">
            <w:pPr>
              <w:tabs>
                <w:tab w:val="left" w:pos="7920"/>
              </w:tabs>
              <w:spacing w:before="60"/>
              <w:ind w:left="180"/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bCs/>
                <w:iCs/>
                <w:color w:val="000000"/>
                <w:sz w:val="19"/>
                <w:szCs w:val="19"/>
              </w:rPr>
              <w:t>WIP</w:t>
            </w:r>
            <w:r w:rsidRPr="00934B77"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>: $1,600,000</w:t>
            </w:r>
            <w:r w:rsidR="00A05CB1"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 xml:space="preserve">  </w:t>
            </w:r>
            <w:r w:rsidR="00A05CB1" w:rsidRPr="00A05CB1">
              <w:rPr>
                <w:rFonts w:ascii="Arial" w:eastAsia="Calibri" w:hAnsi="Arial" w:cs="Arial"/>
                <w:b/>
                <w:bCs/>
                <w:iCs/>
                <w:color w:val="000000"/>
                <w:sz w:val="19"/>
                <w:szCs w:val="19"/>
              </w:rPr>
              <w:t>Pipeline:</w:t>
            </w:r>
            <w:r w:rsidR="00A05CB1">
              <w:rPr>
                <w:rFonts w:ascii="Arial" w:eastAsia="Calibri" w:hAnsi="Arial" w:cs="Arial"/>
                <w:iCs/>
                <w:color w:val="000000"/>
                <w:sz w:val="19"/>
                <w:szCs w:val="19"/>
              </w:rPr>
              <w:t xml:space="preserve"> $300,000</w:t>
            </w:r>
          </w:p>
          <w:p w14:paraId="2682A3CE" w14:textId="6D4F056E" w:rsidR="00934B77" w:rsidRPr="00934B77" w:rsidRDefault="00934B77" w:rsidP="00934B77">
            <w:pPr>
              <w:tabs>
                <w:tab w:val="left" w:pos="7920"/>
              </w:tabs>
              <w:spacing w:before="60"/>
              <w:ind w:left="180"/>
              <w:rPr>
                <w:rFonts w:ascii="Arial" w:eastAsia="Calibri" w:hAnsi="Arial" w:cs="Arial"/>
                <w:i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Intangible Assets</w:t>
            </w:r>
            <w:r w:rsidRPr="00115840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: </w:t>
            </w:r>
            <w:r w:rsidR="00115840">
              <w:rPr>
                <w:rFonts w:ascii="Arial" w:eastAsia="Calibri" w:hAnsi="Arial" w:cs="Arial"/>
                <w:color w:val="000000"/>
                <w:sz w:val="19"/>
                <w:szCs w:val="19"/>
              </w:rPr>
              <w:t>Great reputation, website, fully trained staff, repeat client base</w:t>
            </w:r>
          </w:p>
          <w:bookmarkEnd w:id="1"/>
          <w:p w14:paraId="2C7BF867" w14:textId="7CD2D5BF" w:rsidR="00580B36" w:rsidRPr="00580B36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934B77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27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D7038F">
        <w:trPr>
          <w:trHeight w:val="5175"/>
        </w:trPr>
        <w:tc>
          <w:tcPr>
            <w:tcW w:w="585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03C54D06" w14:textId="3AE9E034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bookmarkStart w:id="3" w:name="_Hlk43821675"/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Year Establishe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d: 1955</w:t>
            </w:r>
            <w:r w:rsidR="00D366AD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; u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nder current ownership since 2006</w:t>
            </w:r>
          </w:p>
          <w:p w14:paraId="43288146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Location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Chicago Metropolitan</w:t>
            </w:r>
          </w:p>
          <w:p w14:paraId="03F426B6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Service Area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Northern and Central Illinois</w:t>
            </w:r>
          </w:p>
          <w:p w14:paraId="487DC425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Services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 xml:space="preserve">: </w:t>
            </w:r>
            <w:bookmarkStart w:id="4" w:name="_Hlk100325563"/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Civil Engineering, Surveying, Construction Management, Forensic Engineering, GIS and CAD</w:t>
            </w:r>
            <w:bookmarkEnd w:id="4"/>
          </w:p>
          <w:p w14:paraId="1BDAA9D8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Clients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Government &amp; Municipal (75%), Education (8%), Contractors (9%), and Private Companies (8%)</w:t>
            </w:r>
          </w:p>
          <w:p w14:paraId="2EB27440" w14:textId="394AF06D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Lease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6</w:t>
            </w:r>
            <w:r w:rsidR="00D366AD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,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000 sq. ft. office space; $5,500/month</w:t>
            </w:r>
          </w:p>
          <w:p w14:paraId="0F22783F" w14:textId="2A756C7E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Reason for Selling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 xml:space="preserve">: </w:t>
            </w:r>
            <w:r w:rsidR="00A05CB1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Exit Strategy</w:t>
            </w:r>
          </w:p>
          <w:p w14:paraId="386BB6D2" w14:textId="5D547B7C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Personnel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2 owners + 1</w:t>
            </w:r>
            <w:r w:rsidR="00180964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1 employees</w:t>
            </w:r>
          </w:p>
          <w:p w14:paraId="17515708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Seller Training Period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Negotiable</w:t>
            </w:r>
          </w:p>
          <w:p w14:paraId="26847EFC" w14:textId="77777777" w:rsidR="00934B77" w:rsidRP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Growth Opportunities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: Hiring another surveyor or EIT to bring on additional projects.</w:t>
            </w:r>
          </w:p>
          <w:p w14:paraId="44086269" w14:textId="162E21EA" w:rsidR="00934B77" w:rsidRDefault="00934B77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  <w:r w:rsidRPr="00934B77">
              <w:rPr>
                <w:rFonts w:ascii="Arial" w:eastAsia="Calibri" w:hAnsi="Arial" w:cs="Arial"/>
                <w:b/>
                <w:iCs/>
                <w:color w:val="000000"/>
                <w:sz w:val="19"/>
                <w:szCs w:val="19"/>
              </w:rPr>
              <w:t>Current Owners’ Responsibilities</w:t>
            </w:r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 xml:space="preserve">: </w:t>
            </w:r>
            <w:bookmarkEnd w:id="3"/>
            <w:r w:rsidRPr="00934B77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>Owner 1- General management and oversight, marketing; Owner 2- Managing engineer and senior project manager</w:t>
            </w:r>
            <w:r w:rsidR="00BD4A01"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  <w:t xml:space="preserve"> </w:t>
            </w:r>
          </w:p>
          <w:p w14:paraId="298A41B8" w14:textId="38080497" w:rsidR="00BD4A01" w:rsidRDefault="00BD4A01" w:rsidP="00934B7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Cs/>
                <w:iCs/>
                <w:color w:val="000000"/>
                <w:sz w:val="19"/>
                <w:szCs w:val="19"/>
              </w:rPr>
            </w:pPr>
          </w:p>
          <w:p w14:paraId="4398EF34" w14:textId="542EFC41" w:rsidR="00580B36" w:rsidRPr="00BD4A01" w:rsidRDefault="00BD4A01" w:rsidP="00BD4A01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/>
                <w:i/>
                <w:color w:val="000000"/>
                <w:sz w:val="19"/>
                <w:szCs w:val="19"/>
              </w:rPr>
            </w:pPr>
            <w:r w:rsidRPr="00BD4A01">
              <w:rPr>
                <w:rFonts w:ascii="Arial" w:eastAsia="Calibri" w:hAnsi="Arial" w:cs="Arial"/>
                <w:b/>
                <w:i/>
                <w:color w:val="000000"/>
                <w:sz w:val="19"/>
                <w:szCs w:val="19"/>
              </w:rPr>
              <w:t>**Though there are enough employees to handle the majority of the sellers’ roles, there is a replacement cost of $150K/year to keep the sellers on</w:t>
            </w:r>
            <w:r>
              <w:rPr>
                <w:rFonts w:ascii="Arial" w:eastAsia="Calibri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BD4A01">
              <w:rPr>
                <w:rFonts w:ascii="Arial" w:eastAsia="Calibri" w:hAnsi="Arial" w:cs="Arial"/>
                <w:b/>
                <w:i/>
                <w:color w:val="000000"/>
                <w:sz w:val="19"/>
                <w:szCs w:val="19"/>
              </w:rPr>
              <w:t>or hire to grow!!</w:t>
            </w:r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D7038F">
        <w:trPr>
          <w:trHeight w:val="342"/>
        </w:trPr>
        <w:tc>
          <w:tcPr>
            <w:tcW w:w="11520" w:type="dxa"/>
            <w:gridSpan w:val="3"/>
          </w:tcPr>
          <w:p w14:paraId="65393F44" w14:textId="0155316E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D366AD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M</w:t>
            </w:r>
            <w:r w:rsidR="00BA1BF1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G</w:t>
            </w:r>
            <w:r w:rsidR="00D366AD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BA1BF1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5.11</w:t>
            </w:r>
            <w:r w:rsidR="00D366AD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.2022</w:t>
            </w:r>
          </w:p>
        </w:tc>
      </w:tr>
      <w:tr w:rsidR="001574A5" w14:paraId="3CD2810C" w14:textId="77777777" w:rsidTr="00D7038F">
        <w:tc>
          <w:tcPr>
            <w:tcW w:w="1152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3E58"/>
    <w:multiLevelType w:val="hybridMultilevel"/>
    <w:tmpl w:val="E9C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68629">
    <w:abstractNumId w:val="0"/>
  </w:num>
  <w:num w:numId="2" w16cid:durableId="1368874166">
    <w:abstractNumId w:val="1"/>
  </w:num>
  <w:num w:numId="3" w16cid:durableId="205333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0307D"/>
    <w:rsid w:val="000156E5"/>
    <w:rsid w:val="00017D43"/>
    <w:rsid w:val="00025A03"/>
    <w:rsid w:val="000428DA"/>
    <w:rsid w:val="00043F01"/>
    <w:rsid w:val="00056E61"/>
    <w:rsid w:val="0008040B"/>
    <w:rsid w:val="000A57AF"/>
    <w:rsid w:val="000B58EB"/>
    <w:rsid w:val="000B6153"/>
    <w:rsid w:val="000B6D15"/>
    <w:rsid w:val="000C5EF2"/>
    <w:rsid w:val="000E5C9F"/>
    <w:rsid w:val="000F2A8B"/>
    <w:rsid w:val="00115840"/>
    <w:rsid w:val="00127EE4"/>
    <w:rsid w:val="00141010"/>
    <w:rsid w:val="00146BBE"/>
    <w:rsid w:val="001574A5"/>
    <w:rsid w:val="00180964"/>
    <w:rsid w:val="00186964"/>
    <w:rsid w:val="001B7705"/>
    <w:rsid w:val="001F3977"/>
    <w:rsid w:val="001F43D4"/>
    <w:rsid w:val="00226630"/>
    <w:rsid w:val="00241C4A"/>
    <w:rsid w:val="002450C4"/>
    <w:rsid w:val="00264766"/>
    <w:rsid w:val="002657D4"/>
    <w:rsid w:val="0027046A"/>
    <w:rsid w:val="00276755"/>
    <w:rsid w:val="0028020D"/>
    <w:rsid w:val="002A0F18"/>
    <w:rsid w:val="002A6251"/>
    <w:rsid w:val="002B667B"/>
    <w:rsid w:val="002D05BD"/>
    <w:rsid w:val="002D19EF"/>
    <w:rsid w:val="002D58A9"/>
    <w:rsid w:val="002E2993"/>
    <w:rsid w:val="002E2C4A"/>
    <w:rsid w:val="002F3D05"/>
    <w:rsid w:val="00320C48"/>
    <w:rsid w:val="00323505"/>
    <w:rsid w:val="0036070A"/>
    <w:rsid w:val="003C763B"/>
    <w:rsid w:val="003D5FAC"/>
    <w:rsid w:val="003E7C8A"/>
    <w:rsid w:val="00445B16"/>
    <w:rsid w:val="00477906"/>
    <w:rsid w:val="0048332C"/>
    <w:rsid w:val="00484906"/>
    <w:rsid w:val="004938B9"/>
    <w:rsid w:val="004B22C2"/>
    <w:rsid w:val="004D2145"/>
    <w:rsid w:val="004D6836"/>
    <w:rsid w:val="004E0E34"/>
    <w:rsid w:val="00501EC6"/>
    <w:rsid w:val="005028A6"/>
    <w:rsid w:val="005141C4"/>
    <w:rsid w:val="00516872"/>
    <w:rsid w:val="00564667"/>
    <w:rsid w:val="00580B36"/>
    <w:rsid w:val="00586651"/>
    <w:rsid w:val="00590C3E"/>
    <w:rsid w:val="005921C8"/>
    <w:rsid w:val="00596E4D"/>
    <w:rsid w:val="00597664"/>
    <w:rsid w:val="005A2C52"/>
    <w:rsid w:val="005B4A72"/>
    <w:rsid w:val="005C6BC4"/>
    <w:rsid w:val="005C7AEB"/>
    <w:rsid w:val="005D61D5"/>
    <w:rsid w:val="005F13E1"/>
    <w:rsid w:val="006019DD"/>
    <w:rsid w:val="00610C33"/>
    <w:rsid w:val="006149B0"/>
    <w:rsid w:val="006362DF"/>
    <w:rsid w:val="006562BE"/>
    <w:rsid w:val="006625F8"/>
    <w:rsid w:val="00687BDE"/>
    <w:rsid w:val="00697D51"/>
    <w:rsid w:val="006B4AFF"/>
    <w:rsid w:val="006C2E70"/>
    <w:rsid w:val="006E027D"/>
    <w:rsid w:val="006E0EE5"/>
    <w:rsid w:val="006F395B"/>
    <w:rsid w:val="00730FEF"/>
    <w:rsid w:val="00767025"/>
    <w:rsid w:val="00772E20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404F6"/>
    <w:rsid w:val="00855ADE"/>
    <w:rsid w:val="00864236"/>
    <w:rsid w:val="00874E76"/>
    <w:rsid w:val="008A1FCA"/>
    <w:rsid w:val="008A361F"/>
    <w:rsid w:val="008B50C4"/>
    <w:rsid w:val="008C4B63"/>
    <w:rsid w:val="008D6ED5"/>
    <w:rsid w:val="008E7BD5"/>
    <w:rsid w:val="00934B77"/>
    <w:rsid w:val="0094449F"/>
    <w:rsid w:val="0096047B"/>
    <w:rsid w:val="00965527"/>
    <w:rsid w:val="009B1620"/>
    <w:rsid w:val="009B4FA4"/>
    <w:rsid w:val="009D3C12"/>
    <w:rsid w:val="009E34FE"/>
    <w:rsid w:val="00A05CB1"/>
    <w:rsid w:val="00A24EAE"/>
    <w:rsid w:val="00A31752"/>
    <w:rsid w:val="00A32911"/>
    <w:rsid w:val="00A33706"/>
    <w:rsid w:val="00A8394F"/>
    <w:rsid w:val="00AD4AE3"/>
    <w:rsid w:val="00AD6F70"/>
    <w:rsid w:val="00B04978"/>
    <w:rsid w:val="00B05726"/>
    <w:rsid w:val="00B12AA6"/>
    <w:rsid w:val="00B15AE6"/>
    <w:rsid w:val="00B266B1"/>
    <w:rsid w:val="00B34534"/>
    <w:rsid w:val="00B42A48"/>
    <w:rsid w:val="00B5442D"/>
    <w:rsid w:val="00B73992"/>
    <w:rsid w:val="00B87F86"/>
    <w:rsid w:val="00B94173"/>
    <w:rsid w:val="00B95503"/>
    <w:rsid w:val="00B95D26"/>
    <w:rsid w:val="00BA1BF1"/>
    <w:rsid w:val="00BC2C8B"/>
    <w:rsid w:val="00BD0541"/>
    <w:rsid w:val="00BD4A01"/>
    <w:rsid w:val="00C0216F"/>
    <w:rsid w:val="00C60080"/>
    <w:rsid w:val="00C80AC3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7FC4"/>
    <w:rsid w:val="00CF2C63"/>
    <w:rsid w:val="00CF7500"/>
    <w:rsid w:val="00D23533"/>
    <w:rsid w:val="00D278A9"/>
    <w:rsid w:val="00D366AD"/>
    <w:rsid w:val="00D507B3"/>
    <w:rsid w:val="00D53B05"/>
    <w:rsid w:val="00D7038F"/>
    <w:rsid w:val="00D81A23"/>
    <w:rsid w:val="00D81A31"/>
    <w:rsid w:val="00D93E3D"/>
    <w:rsid w:val="00DA0CA9"/>
    <w:rsid w:val="00DE206D"/>
    <w:rsid w:val="00DF76D5"/>
    <w:rsid w:val="00E12081"/>
    <w:rsid w:val="00E360E8"/>
    <w:rsid w:val="00E47A62"/>
    <w:rsid w:val="00E5377F"/>
    <w:rsid w:val="00E54E9D"/>
    <w:rsid w:val="00E57D8A"/>
    <w:rsid w:val="00E62EFE"/>
    <w:rsid w:val="00E65DE6"/>
    <w:rsid w:val="00E73FEA"/>
    <w:rsid w:val="00EC05D5"/>
    <w:rsid w:val="00EC792B"/>
    <w:rsid w:val="00ED063B"/>
    <w:rsid w:val="00ED52FA"/>
    <w:rsid w:val="00EE5069"/>
    <w:rsid w:val="00F0467C"/>
    <w:rsid w:val="00F10668"/>
    <w:rsid w:val="00F33AB4"/>
    <w:rsid w:val="00F4497D"/>
    <w:rsid w:val="00F5387D"/>
    <w:rsid w:val="00FA747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Nate Ghanavati</cp:lastModifiedBy>
  <cp:revision>14</cp:revision>
  <cp:lastPrinted>2022-05-11T19:24:00Z</cp:lastPrinted>
  <dcterms:created xsi:type="dcterms:W3CDTF">2022-05-11T17:53:00Z</dcterms:created>
  <dcterms:modified xsi:type="dcterms:W3CDTF">2022-05-11T19:48:00Z</dcterms:modified>
</cp:coreProperties>
</file>